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6481872F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</w:t>
      </w:r>
      <w:r w:rsidR="00F87EF9" w:rsidRPr="0066444D">
        <w:rPr>
          <w:rFonts w:ascii="Arial Narrow" w:hAnsi="Arial Narrow"/>
        </w:rPr>
        <w:t>Ricorso giurisdizionale per mancata liquidazione indennità di reggenza DSGA.</w:t>
      </w:r>
      <w:r w:rsidR="00F87EF9">
        <w:rPr>
          <w:rFonts w:ascii="Arial Narrow" w:hAnsi="Arial Narrow"/>
        </w:rPr>
        <w:t xml:space="preserve"> </w:t>
      </w:r>
      <w:r>
        <w:rPr>
          <w:sz w:val="24"/>
          <w:szCs w:val="24"/>
        </w:rPr>
        <w:t xml:space="preserve">calcolo arretrati, contro </w:t>
      </w:r>
      <w:r w:rsidR="006671B1">
        <w:rPr>
          <w:sz w:val="24"/>
          <w:szCs w:val="24"/>
        </w:rPr>
        <w:t xml:space="preserve">M.I. </w:t>
      </w:r>
    </w:p>
    <w:p w14:paraId="44F0C9FB" w14:textId="77777777" w:rsidR="00F87EF9" w:rsidRPr="00F87EF9" w:rsidRDefault="00F87EF9" w:rsidP="00F87EF9">
      <w:pPr>
        <w:rPr>
          <w:lang w:bidi="ar-SA"/>
        </w:rPr>
      </w:pP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75E91F9E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M.I.U.R., avente ad oggetto:  </w:t>
      </w:r>
      <w:r w:rsidR="00F87EF9" w:rsidRPr="00F87EF9">
        <w:rPr>
          <w:rFonts w:ascii="Arial" w:hAnsi="Arial" w:cs="Arial"/>
          <w:b/>
          <w:color w:val="FF0000"/>
          <w:sz w:val="24"/>
          <w:szCs w:val="24"/>
        </w:rPr>
        <w:t>liquidazione indennità di reggenza DSGA</w:t>
      </w:r>
      <w:r w:rsidR="00F87EF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– DIFFERENZE RETRIBUTIVE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2519CE43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dieciPERCENTO</w:t>
      </w:r>
      <w:proofErr w:type="spellEnd"/>
      <w:r>
        <w:rPr>
          <w:rFonts w:ascii="Arial" w:hAnsi="Arial" w:cs="Arial"/>
          <w:sz w:val="24"/>
          <w:szCs w:val="24"/>
        </w:rPr>
        <w:t xml:space="preserve">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04EFA3" w14:textId="4DAA88A8" w:rsidR="0053428F" w:rsidRPr="002B247C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56579C4" w14:textId="32637334" w:rsidR="006671B1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 xml:space="preserve">senza concorrere a determinare la quota degli onorari di cui al punto precedente.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lastRenderedPageBreak/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3F3D7A87" w14:textId="77777777" w:rsidR="002B247C" w:rsidRP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102E" w14:textId="77777777" w:rsidR="00803B7C" w:rsidRDefault="00803B7C">
      <w:r>
        <w:separator/>
      </w:r>
    </w:p>
  </w:endnote>
  <w:endnote w:type="continuationSeparator" w:id="0">
    <w:p w14:paraId="5B345F82" w14:textId="77777777" w:rsidR="00803B7C" w:rsidRDefault="0080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B920" w14:textId="77777777" w:rsidR="00803B7C" w:rsidRDefault="00803B7C">
      <w:r>
        <w:separator/>
      </w:r>
    </w:p>
  </w:footnote>
  <w:footnote w:type="continuationSeparator" w:id="0">
    <w:p w14:paraId="2A1E7240" w14:textId="77777777" w:rsidR="00803B7C" w:rsidRDefault="0080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B6904"/>
    <w:rsid w:val="00265343"/>
    <w:rsid w:val="002B247C"/>
    <w:rsid w:val="002D7BF6"/>
    <w:rsid w:val="0053428F"/>
    <w:rsid w:val="006671B1"/>
    <w:rsid w:val="006B686E"/>
    <w:rsid w:val="006C4639"/>
    <w:rsid w:val="006E75B0"/>
    <w:rsid w:val="007E1D3D"/>
    <w:rsid w:val="00803B7C"/>
    <w:rsid w:val="00F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406D33"/>
    <w:rsid w:val="00613CE6"/>
    <w:rsid w:val="009F030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21</cp:revision>
  <cp:lastPrinted>2019-10-14T09:01:00Z</cp:lastPrinted>
  <dcterms:created xsi:type="dcterms:W3CDTF">2018-08-11T11:05:00Z</dcterms:created>
  <dcterms:modified xsi:type="dcterms:W3CDTF">2022-02-08T14:10:00Z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